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№512 от 20 августа 2003 г.</w:t>
      </w:r>
    </w:p>
    <w:p>
      <w:pPr>
        <w:pStyle w:val="Heading2"/>
        <w:rPr/>
      </w:pPr>
      <w:r>
        <w:rPr/>
        <w:t>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 »</w:t>
      </w:r>
    </w:p>
    <w:p>
      <w:pPr>
        <w:pStyle w:val="TextBody"/>
        <w:rPr/>
      </w:pPr>
      <w:r>
        <w:rPr/>
        <w:t>Во исполнение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Министерству труда и социального развития Российской Федерации совместно с Министерством финансов Российской Федерации давать разъяснения, связанные с применением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Постановление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 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М. Касьянов</w:t>
      </w:r>
    </w:p>
    <w:p>
      <w:pPr>
        <w:pStyle w:val="Heading5"/>
        <w:jc w:val="left"/>
        <w:rPr/>
      </w:pPr>
      <w:r>
        <w:rPr/>
        <w:t>Утвержден</w:t>
        <w:br/>
        <w:t>Постановлением Правительства</w:t>
        <w:br/>
        <w:t>Российской Федерации</w:t>
        <w:br/>
        <w:t>от 20 августа 2003 г. N 512</w:t>
      </w:r>
    </w:p>
    <w:p>
      <w:pPr>
        <w:pStyle w:val="Heading5"/>
        <w:jc w:val="left"/>
        <w:rPr/>
      </w:pPr>
      <w:r>
        <w:rPr/>
      </w:r>
    </w:p>
    <w:p>
      <w:pPr>
        <w:pStyle w:val="Heading3"/>
        <w:jc w:val="left"/>
        <w:rPr/>
      </w:pPr>
      <w:r>
        <w:rPr/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</w:p>
    <w:p>
      <w:pPr>
        <w:pStyle w:val="TextBody"/>
        <w:rPr/>
      </w:pPr>
      <w:r>
        <w:rPr/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11 апреля 2003 г. N 213 "Об особенностях порядка исчисления средней заработной платы";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средний заработок, сохраняемый в случаях, предусмотренных трудовым законодательством;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социальные выплаты из бюджетов всех уровней, государственных внебюджетных фондов и других источников, к которым относятся:</w:t>
      </w:r>
    </w:p>
    <w:p>
      <w:pPr>
        <w:pStyle w:val="TextBody"/>
        <w:rPr/>
      </w:pPr>
      <w:r>
        <w:rPr/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>
      <w:pPr>
        <w:pStyle w:val="TextBody"/>
        <w:rPr/>
      </w:pPr>
      <w:r>
        <w:rPr/>
        <w:t>ежемесячное пожизненное содержание судей, вышедших в отставку;</w:t>
      </w:r>
    </w:p>
    <w:p>
      <w:pPr>
        <w:pStyle w:val="TextBody"/>
        <w:rPr/>
      </w:pPr>
      <w:r>
        <w:rPr/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>
      <w:pPr>
        <w:pStyle w:val="TextBody"/>
        <w:rPr/>
      </w:pPr>
      <w:r>
        <w:rPr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>
      <w:pPr>
        <w:pStyle w:val="TextBody"/>
        <w:rPr/>
      </w:pPr>
      <w:r>
        <w:rPr/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>
      <w:pPr>
        <w:pStyle w:val="TextBody"/>
        <w:rPr/>
      </w:pPr>
      <w:r>
        <w:rPr/>
        <w:t>ежемесячное пособие на ребенка;</w:t>
      </w:r>
    </w:p>
    <w:p>
      <w:pPr>
        <w:pStyle w:val="TextBody"/>
        <w:rPr/>
      </w:pPr>
      <w:r>
        <w:rPr/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>
      <w:pPr>
        <w:pStyle w:val="TextBody"/>
        <w:rPr/>
      </w:pPr>
      <w:r>
        <w:rPr/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>
      <w:pPr>
        <w:pStyle w:val="TextBody"/>
        <w:rPr/>
      </w:pPr>
      <w:r>
        <w:rPr/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>
      <w:pPr>
        <w:pStyle w:val="TextBody"/>
        <w:rPr/>
      </w:pPr>
      <w:r>
        <w:rPr/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>
      <w:pPr>
        <w:pStyle w:val="TextBody"/>
        <w:rPr/>
      </w:pPr>
      <w:r>
        <w:rPr/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>
      <w:pPr>
        <w:pStyle w:val="TextBody"/>
        <w:rPr/>
      </w:pPr>
      <w:r>
        <w:rPr/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>
      <w:pPr>
        <w:pStyle w:val="TextBody"/>
        <w:rPr/>
      </w:pPr>
      <w:r>
        <w:rPr>
          <w:rStyle w:val="StrongEmphasis"/>
        </w:rPr>
        <w:t>ж)</w:t>
      </w:r>
      <w:r>
        <w:rPr/>
        <w:t xml:space="preserve"> другие доходы семьи или одиноко проживающего гражданина, в которые включаются:</w:t>
      </w:r>
    </w:p>
    <w:p>
      <w:pPr>
        <w:pStyle w:val="TextBody"/>
        <w:rPr/>
      </w:pPr>
      <w:r>
        <w:rPr/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>
      <w:pPr>
        <w:pStyle w:val="TextBody"/>
        <w:rPr/>
      </w:pPr>
      <w:r>
        <w:rPr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>
      <w:pPr>
        <w:pStyle w:val="TextBody"/>
        <w:rPr/>
      </w:pPr>
      <w:r>
        <w:rPr/>
        <w:t>оплата работ по договорам, заключаемым в соответствии с гражданским законодательством Российской Федерации;</w:t>
      </w:r>
    </w:p>
    <w:p>
      <w:pPr>
        <w:pStyle w:val="TextBody"/>
        <w:rPr/>
      </w:pPr>
      <w:r>
        <w:rPr/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>
      <w:pPr>
        <w:pStyle w:val="TextBody"/>
        <w:rPr/>
      </w:pPr>
      <w:r>
        <w:rPr/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>
      <w:pPr>
        <w:pStyle w:val="TextBody"/>
        <w:rPr/>
      </w:pPr>
      <w:r>
        <w:rPr/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>
      <w:pPr>
        <w:pStyle w:val="TextBody"/>
        <w:rPr/>
      </w:pPr>
      <w:r>
        <w:rPr/>
        <w:t>доходы по акциям и другие доходы от участия в управлении собственностью организации;</w:t>
      </w:r>
    </w:p>
    <w:p>
      <w:pPr>
        <w:pStyle w:val="TextBody"/>
        <w:rPr/>
      </w:pPr>
      <w:r>
        <w:rPr/>
        <w:t>алименты, получаемые членами семьи;</w:t>
      </w:r>
    </w:p>
    <w:p>
      <w:pPr>
        <w:pStyle w:val="TextBody"/>
        <w:rPr/>
      </w:pPr>
      <w:r>
        <w:rPr/>
        <w:t>проценты по банковским вкладам;</w:t>
      </w:r>
    </w:p>
    <w:p>
      <w:pPr>
        <w:pStyle w:val="TextBody"/>
        <w:rPr/>
      </w:pPr>
      <w:r>
        <w:rPr/>
        <w:t>наследуемые и подаренные денежные средства;</w:t>
      </w:r>
    </w:p>
    <w:p>
      <w:pPr>
        <w:pStyle w:val="TextBody"/>
        <w:rPr/>
      </w:pPr>
      <w:r>
        <w:rPr/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>
      <w:pPr>
        <w:pStyle w:val="TextBody"/>
        <w:rPr/>
      </w:pPr>
      <w:r>
        <w:rPr/>
        <w:t>2. В доходе семьи или одиноко проживающего гражданина не учитываются:</w:t>
      </w:r>
    </w:p>
    <w:p>
      <w:pPr>
        <w:pStyle w:val="TextBody"/>
        <w:rPr/>
      </w:pPr>
      <w:r>
        <w:rPr/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>
      <w:pPr>
        <w:pStyle w:val="TextBody"/>
        <w:rPr/>
      </w:pPr>
      <w:r>
        <w:rPr/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>
      <w:pPr>
        <w:pStyle w:val="TextBody"/>
        <w:spacing w:before="0" w:after="283"/>
        <w:rPr/>
      </w:pPr>
      <w:r>
        <w:rPr/>
        <w:t>3. Из дохода семьи или одиноко проживающего гражданина исключается сумма уплаченных алиментов.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